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C375" w14:textId="77777777" w:rsidR="005816E5" w:rsidRDefault="001239D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</w:t>
      </w:r>
      <w:r>
        <w:rPr>
          <w:rFonts w:ascii="Times New Roman" w:hAnsi="Times New Roman" w:cs="Arial"/>
          <w:sz w:val="24"/>
          <w:szCs w:val="24"/>
        </w:rPr>
        <w:t xml:space="preserve">   Základní škola a mateřská škola Frýdek-Místek – Skalice 192, příspěvková organizace</w:t>
      </w:r>
    </w:p>
    <w:p w14:paraId="72C62C14" w14:textId="77777777" w:rsidR="005816E5" w:rsidRDefault="005816E5">
      <w:pPr>
        <w:jc w:val="center"/>
        <w:rPr>
          <w:rFonts w:ascii="Times New Roman" w:hAnsi="Times New Roman" w:cs="Arial"/>
          <w:b/>
          <w:i/>
          <w:sz w:val="24"/>
          <w:szCs w:val="24"/>
          <w:u w:val="single"/>
        </w:rPr>
      </w:pPr>
    </w:p>
    <w:p w14:paraId="3795ED88" w14:textId="77777777" w:rsidR="005816E5" w:rsidRDefault="001239DA">
      <w:pPr>
        <w:jc w:val="center"/>
        <w:rPr>
          <w:rFonts w:ascii="Arial Narrow" w:hAnsi="Arial Narrow" w:cs="Arial"/>
          <w:sz w:val="32"/>
          <w:szCs w:val="32"/>
          <w:u w:val="single"/>
        </w:rPr>
      </w:pPr>
      <w:r>
        <w:rPr>
          <w:rFonts w:ascii="Times New Roman" w:hAnsi="Times New Roman" w:cs="Arial"/>
          <w:b/>
          <w:bCs/>
          <w:sz w:val="32"/>
          <w:szCs w:val="32"/>
          <w:u w:val="single"/>
        </w:rPr>
        <w:t>Směrnice</w:t>
      </w:r>
    </w:p>
    <w:p w14:paraId="0DC65466" w14:textId="77777777" w:rsidR="005816E5" w:rsidRDefault="001239DA">
      <w:pPr>
        <w:jc w:val="center"/>
        <w:rPr>
          <w:rFonts w:ascii="Arial Narrow" w:hAnsi="Arial Narrow" w:cs="Arial"/>
          <w:i/>
          <w:sz w:val="24"/>
          <w:szCs w:val="24"/>
          <w:u w:val="single"/>
        </w:rPr>
      </w:pPr>
      <w:r>
        <w:rPr>
          <w:rFonts w:ascii="Times New Roman" w:hAnsi="Times New Roman" w:cs="Arial"/>
          <w:b/>
          <w:bCs/>
          <w:sz w:val="32"/>
          <w:szCs w:val="32"/>
          <w:u w:val="single"/>
        </w:rPr>
        <w:t>stanovující kritéria pro přijímání dětí k předškolnímu vzdělávání</w:t>
      </w:r>
    </w:p>
    <w:p w14:paraId="0CA0864E" w14:textId="77777777"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54D0920" w14:textId="77777777"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Základní ustanovení</w:t>
      </w:r>
    </w:p>
    <w:p w14:paraId="7763B93C" w14:textId="77777777" w:rsidR="005816E5" w:rsidRDefault="001239DA">
      <w:pPr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1. 01</w:t>
      </w:r>
      <w:r>
        <w:rPr>
          <w:rFonts w:ascii="Times New Roman" w:hAnsi="Times New Roman" w:cs="Times New Roman"/>
          <w:sz w:val="24"/>
          <w:szCs w:val="24"/>
        </w:rPr>
        <w:tab/>
        <w:t>Ustanovení této směrnice vymezuje kritéria, podle nichž bude postupováno při rozhodování na základě ustanovení § 165 odst. 2 písm. b) zákona č. 561/2004 Sb., o předškolním, základním, středním, vyšším odborném a jiném vzdělávání (dále jen školský zákon), ve znění pozdějších předpisů, o přijetí dítěte k předškolnímu vzdělávání  v Mateřské škole</w:t>
      </w:r>
      <w:r>
        <w:rPr>
          <w:rFonts w:ascii="Times New Roman" w:hAnsi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 Frýdk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-Místk</w:t>
      </w:r>
      <w:r>
        <w:rPr>
          <w:rFonts w:ascii="Times New Roman" w:hAnsi="Times New Roman"/>
          <w:sz w:val="24"/>
          <w:szCs w:val="24"/>
        </w:rPr>
        <w:t>u – Skalici 192</w:t>
      </w:r>
      <w:r>
        <w:rPr>
          <w:rFonts w:ascii="Times New Roman" w:hAnsi="Times New Roman" w:cs="Times New Roman"/>
          <w:sz w:val="24"/>
          <w:szCs w:val="24"/>
        </w:rPr>
        <w:t xml:space="preserve"> (dále jen mateřská škola), v případě, kdy počet žádostí o přijetí dětí k předškolnímu vzdělávání v této mateřské škole a v daném roce  překročí stanovenou kapacitu  maximálního počtu dětí pro mateřskou školu.</w:t>
      </w:r>
    </w:p>
    <w:p w14:paraId="47C61DDF" w14:textId="77777777" w:rsidR="005816E5" w:rsidRDefault="001239DA">
      <w:pPr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1. 02</w:t>
      </w:r>
      <w:r>
        <w:rPr>
          <w:rFonts w:ascii="Times New Roman" w:hAnsi="Times New Roman" w:cs="Times New Roman"/>
          <w:sz w:val="24"/>
          <w:szCs w:val="24"/>
        </w:rPr>
        <w:tab/>
        <w:t>Předškolní vzdělávání se organizuje v mateřské škole v souladu s ustanovením odst. 1)  § 34 školského zákona pro děti  ve věku zpravidla od tří do šesti let, nejdříve však od 2 let (do začátku povinné školní docházky).</w:t>
      </w:r>
    </w:p>
    <w:p w14:paraId="1674BD38" w14:textId="77777777" w:rsidR="005816E5" w:rsidRDefault="001239DA">
      <w:pPr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1. 03</w:t>
      </w:r>
      <w:r>
        <w:rPr>
          <w:rFonts w:ascii="Times New Roman" w:hAnsi="Times New Roman" w:cs="Times New Roman"/>
          <w:sz w:val="24"/>
          <w:szCs w:val="24"/>
        </w:rPr>
        <w:tab/>
        <w:t xml:space="preserve">Kritéria pro přijímání dětí k předškolnímu vzdělávání stanovena touto směrnicí jsou zveřejněna na www. stránkách školy </w:t>
      </w:r>
      <w:proofErr w:type="gramStart"/>
      <w:r>
        <w:rPr>
          <w:rFonts w:ascii="Times New Roman" w:hAnsi="Times New Roman" w:cs="Times New Roman"/>
          <w:sz w:val="24"/>
          <w:szCs w:val="24"/>
        </w:rPr>
        <w:t>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nástěnce v MŠ.</w:t>
      </w:r>
    </w:p>
    <w:p w14:paraId="178BD295" w14:textId="77777777" w:rsidR="005816E5" w:rsidRDefault="001239DA">
      <w:pPr>
        <w:tabs>
          <w:tab w:val="left" w:pos="720"/>
        </w:tabs>
        <w:ind w:left="720" w:hanging="720"/>
        <w:jc w:val="both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1. 04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_DdeLink__392_582164515"/>
      <w:r>
        <w:rPr>
          <w:rFonts w:ascii="Times New Roman" w:hAnsi="Times New Roman" w:cs="Times New Roman"/>
          <w:sz w:val="24"/>
          <w:szCs w:val="24"/>
        </w:rPr>
        <w:t xml:space="preserve">Přijato může být </w:t>
      </w:r>
      <w:bookmarkEnd w:id="0"/>
      <w:r>
        <w:rPr>
          <w:rFonts w:ascii="Times New Roman" w:hAnsi="Times New Roman" w:cs="Times New Roman"/>
          <w:sz w:val="24"/>
          <w:szCs w:val="24"/>
        </w:rPr>
        <w:t>pouze dítě, které se podrobilo stanoveným pravidelným očkováním, v souladu s § 34 odst. 5 zákona 561/2004 Sb., o předškolním, základním, středním, vyšším odborném a jiném vzdělávání, ve znění pozdějších předpisů a § 50 zákona č. 258/2000 Sb., o ochraně veřejného zdraví. Výjimka platí pro poslední ročník mateřské školy, kdy je docházka do mateřské školy povinná.</w:t>
      </w:r>
    </w:p>
    <w:p w14:paraId="6A1A4B4F" w14:textId="77777777" w:rsidR="005816E5" w:rsidRDefault="00123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1. 05</w:t>
      </w:r>
      <w:r>
        <w:rPr>
          <w:rFonts w:ascii="Times New Roman" w:hAnsi="Times New Roman" w:cs="Times New Roman"/>
          <w:sz w:val="24"/>
          <w:szCs w:val="24"/>
        </w:rPr>
        <w:tab/>
        <w:t xml:space="preserve">O přijetí dítěte do mateřské školy rozhoduje ředitelka školy. Posoudí všechny </w:t>
      </w:r>
      <w:r>
        <w:rPr>
          <w:rFonts w:ascii="Times New Roman" w:hAnsi="Times New Roman" w:cs="Times New Roman"/>
          <w:sz w:val="24"/>
          <w:szCs w:val="24"/>
        </w:rPr>
        <w:tab/>
        <w:t xml:space="preserve">žádosti o přijetí dítěte k předškolnímu vzdělávání podané zákonnými zástupci a ve </w:t>
      </w:r>
      <w:r>
        <w:rPr>
          <w:rFonts w:ascii="Times New Roman" w:hAnsi="Times New Roman" w:cs="Times New Roman"/>
          <w:sz w:val="24"/>
          <w:szCs w:val="24"/>
        </w:rPr>
        <w:tab/>
        <w:t xml:space="preserve">správním řízení rozhodne o přijetí či nepřijetí dítěte, popřípadě o stanovení zkušebního </w:t>
      </w:r>
      <w:r>
        <w:rPr>
          <w:rFonts w:ascii="Times New Roman" w:hAnsi="Times New Roman" w:cs="Times New Roman"/>
          <w:sz w:val="24"/>
          <w:szCs w:val="24"/>
        </w:rPr>
        <w:tab/>
        <w:t>pobytu dítěte, jehož délka nesmí překročit 3 měsíce.</w:t>
      </w:r>
    </w:p>
    <w:p w14:paraId="0DC803D9" w14:textId="77777777" w:rsidR="005816E5" w:rsidRDefault="001239D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06    Podle obecně závazné vyhlášky č. 4/2017 (platné od 14. 3. 2017), kterou se stanoví školské obvody mateřských škol zřizovaných statutárním městem Frýdek-Místek, budou přednostně přijímány děti s trvalým bydlištěm ve Skalici.</w:t>
      </w:r>
    </w:p>
    <w:p w14:paraId="4D484FC2" w14:textId="77777777" w:rsidR="005816E5" w:rsidRDefault="001239DA">
      <w:pPr>
        <w:spacing w:after="12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1239D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Podle §34 odst. 4 zákona 561/2004 Sb. školského zákona, se k předškolnímu vzdělávání přednostně přijímají děti v posledním roce před zahájením povinné školní docházky, pro které je  od 1. 9 2017 předškolní vzdělávání povinné.</w:t>
      </w:r>
    </w:p>
    <w:p w14:paraId="6A289A98" w14:textId="77777777" w:rsidR="005816E5" w:rsidRDefault="005816E5">
      <w:pPr>
        <w:spacing w:after="120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2BFA03F" w14:textId="77777777" w:rsidR="005816E5" w:rsidRDefault="001239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14:paraId="7C73615B" w14:textId="77777777" w:rsidR="005816E5" w:rsidRDefault="001239DA">
      <w:pPr>
        <w:ind w:left="720" w:hanging="720"/>
        <w:jc w:val="center"/>
      </w:pPr>
      <w:r>
        <w:rPr>
          <w:rFonts w:ascii="Times New Roman" w:hAnsi="Times New Roman" w:cs="Times New Roman"/>
          <w:sz w:val="24"/>
          <w:szCs w:val="24"/>
        </w:rPr>
        <w:t>Přehled kritérií</w:t>
      </w:r>
    </w:p>
    <w:p w14:paraId="716AE368" w14:textId="77777777" w:rsidR="005816E5" w:rsidRDefault="001239DA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2. 01</w:t>
      </w:r>
      <w:r>
        <w:rPr>
          <w:rFonts w:ascii="Times New Roman" w:hAnsi="Times New Roman" w:cs="Times New Roman"/>
          <w:sz w:val="24"/>
          <w:szCs w:val="24"/>
        </w:rPr>
        <w:tab/>
        <w:t>Klíčem pro rozhodnutí ředitelky mateřské školy ve věci přijímání dětí k předškolnímu vzdělávání jsou tato kritéria:</w:t>
      </w:r>
    </w:p>
    <w:p w14:paraId="2CA2F6A8" w14:textId="77777777" w:rsidR="005816E5" w:rsidRDefault="005816E5">
      <w:pPr>
        <w:ind w:left="720" w:hanging="720"/>
        <w:jc w:val="both"/>
        <w:rPr>
          <w:rFonts w:cs="Times New Roman"/>
        </w:rPr>
      </w:pPr>
    </w:p>
    <w:p w14:paraId="02DD57D6" w14:textId="77777777"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Trvalý pobyt dítěte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trvalý pobyt v obci Skalice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bodů</w:t>
      </w:r>
    </w:p>
    <w:p w14:paraId="007F6731" w14:textId="77777777"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trvalý pobyt mimo obec Skalice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body</w:t>
      </w:r>
    </w:p>
    <w:p w14:paraId="32A669FE" w14:textId="77777777" w:rsidR="005816E5" w:rsidRDefault="005816E5">
      <w:pPr>
        <w:rPr>
          <w:rFonts w:ascii="Times New Roman" w:hAnsi="Times New Roman"/>
          <w:sz w:val="24"/>
          <w:szCs w:val="24"/>
        </w:rPr>
      </w:pPr>
    </w:p>
    <w:p w14:paraId="353CFFAC" w14:textId="77777777"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Věk dítěte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- 5 let věku k 31. 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3E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 bodů</w:t>
      </w:r>
    </w:p>
    <w:p w14:paraId="00293E58" w14:textId="77777777"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- 4 roky věku k 31. 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3E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 bodů</w:t>
      </w:r>
    </w:p>
    <w:p w14:paraId="2E019033" w14:textId="05EFF5D3" w:rsidR="0081334D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- 3 roky věku k 31. 8.</w:t>
      </w:r>
      <w:r w:rsidR="0081334D">
        <w:rPr>
          <w:rFonts w:ascii="Times New Roman" w:hAnsi="Times New Roman"/>
          <w:sz w:val="24"/>
          <w:szCs w:val="24"/>
        </w:rPr>
        <w:tab/>
      </w:r>
      <w:r w:rsidR="0081334D">
        <w:rPr>
          <w:rFonts w:ascii="Times New Roman" w:hAnsi="Times New Roman"/>
          <w:sz w:val="24"/>
          <w:szCs w:val="24"/>
        </w:rPr>
        <w:tab/>
      </w:r>
      <w:r w:rsidR="0081334D">
        <w:rPr>
          <w:rFonts w:ascii="Times New Roman" w:hAnsi="Times New Roman"/>
          <w:sz w:val="24"/>
          <w:szCs w:val="24"/>
        </w:rPr>
        <w:tab/>
      </w:r>
      <w:r w:rsidR="0081334D">
        <w:rPr>
          <w:rFonts w:ascii="Times New Roman" w:hAnsi="Times New Roman"/>
          <w:sz w:val="24"/>
          <w:szCs w:val="24"/>
        </w:rPr>
        <w:tab/>
      </w:r>
      <w:r w:rsidR="0081334D">
        <w:rPr>
          <w:rFonts w:ascii="Times New Roman" w:hAnsi="Times New Roman"/>
          <w:sz w:val="24"/>
          <w:szCs w:val="24"/>
        </w:rPr>
        <w:tab/>
        <w:t>6 bodů</w:t>
      </w:r>
    </w:p>
    <w:p w14:paraId="4949716D" w14:textId="3C597F28" w:rsidR="005816E5" w:rsidRDefault="00813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mladší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39DA">
        <w:rPr>
          <w:rFonts w:ascii="Times New Roman" w:hAnsi="Times New Roman"/>
          <w:sz w:val="24"/>
          <w:szCs w:val="24"/>
        </w:rPr>
        <w:tab/>
      </w:r>
      <w:r w:rsidR="001239DA">
        <w:rPr>
          <w:rFonts w:ascii="Times New Roman" w:hAnsi="Times New Roman"/>
          <w:sz w:val="24"/>
          <w:szCs w:val="24"/>
        </w:rPr>
        <w:tab/>
      </w:r>
      <w:r w:rsidR="001239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="001239DA">
        <w:rPr>
          <w:rFonts w:ascii="Times New Roman" w:hAnsi="Times New Roman"/>
          <w:sz w:val="24"/>
          <w:szCs w:val="24"/>
        </w:rPr>
        <w:t xml:space="preserve"> bodů</w:t>
      </w:r>
    </w:p>
    <w:p w14:paraId="21912E51" w14:textId="77777777" w:rsidR="005816E5" w:rsidRDefault="005816E5">
      <w:pPr>
        <w:rPr>
          <w:rFonts w:ascii="Times New Roman" w:hAnsi="Times New Roman"/>
          <w:sz w:val="24"/>
          <w:szCs w:val="24"/>
        </w:rPr>
      </w:pPr>
    </w:p>
    <w:p w14:paraId="59AA9D16" w14:textId="77777777"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Individ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situace dítěte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MŠ již navštěvuje sourozenec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body</w:t>
      </w:r>
    </w:p>
    <w:p w14:paraId="01592FA9" w14:textId="77777777"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dítě se hlásí k celodennímu provozu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body</w:t>
      </w:r>
    </w:p>
    <w:p w14:paraId="135F1FEA" w14:textId="2891E254" w:rsidR="005816E5" w:rsidRDefault="001239DA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580B74" w14:textId="77777777"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Opakované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děti, které nebyly přijaty v předchozím</w:t>
      </w:r>
    </w:p>
    <w:p w14:paraId="23BC4ADE" w14:textId="77777777" w:rsidR="005816E5" w:rsidRDefault="001239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školním roce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body</w:t>
      </w:r>
    </w:p>
    <w:p w14:paraId="0990E571" w14:textId="77777777" w:rsidR="005816E5" w:rsidRDefault="00123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BEDBC5" w14:textId="77777777" w:rsidR="005816E5" w:rsidRDefault="005816E5">
      <w:pPr>
        <w:rPr>
          <w:rFonts w:ascii="Times New Roman" w:hAnsi="Times New Roman"/>
          <w:sz w:val="24"/>
          <w:szCs w:val="24"/>
        </w:rPr>
      </w:pPr>
    </w:p>
    <w:p w14:paraId="3301E57D" w14:textId="77777777" w:rsidR="005816E5" w:rsidRDefault="001239DA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02   Kritéria se celkově hodnotí tak, že body, kterými jsou ohodnocena, se sčítají a pořadí dětí je dáno počtem bodů.  </w:t>
      </w:r>
    </w:p>
    <w:p w14:paraId="6ACDCCD7" w14:textId="77777777" w:rsidR="005816E5" w:rsidRDefault="001239DA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2. 03</w:t>
      </w:r>
      <w:r>
        <w:rPr>
          <w:rFonts w:ascii="Times New Roman" w:hAnsi="Times New Roman" w:cs="Times New Roman"/>
          <w:sz w:val="24"/>
          <w:szCs w:val="24"/>
        </w:rPr>
        <w:tab/>
        <w:t xml:space="preserve">Upřednostnění se týká také dětí občanů Evropské unie či občanů třetích zemí, kteří </w:t>
      </w:r>
      <w:r>
        <w:rPr>
          <w:rFonts w:ascii="Times New Roman" w:hAnsi="Times New Roman" w:cs="Times New Roman"/>
          <w:sz w:val="24"/>
          <w:szCs w:val="24"/>
        </w:rPr>
        <w:tab/>
        <w:t xml:space="preserve">mají hlášeno místo pobytu na území statutárního města Frýdku-Místku nebo v jeho </w:t>
      </w:r>
      <w:r>
        <w:rPr>
          <w:rFonts w:ascii="Times New Roman" w:hAnsi="Times New Roman" w:cs="Times New Roman"/>
          <w:sz w:val="24"/>
          <w:szCs w:val="24"/>
        </w:rPr>
        <w:tab/>
        <w:t xml:space="preserve">okrajových částech. Žadatelé jsou povinni doložit oprávnění k pobytu na území </w:t>
      </w:r>
      <w:r>
        <w:rPr>
          <w:rFonts w:ascii="Times New Roman" w:hAnsi="Times New Roman" w:cs="Times New Roman"/>
          <w:sz w:val="24"/>
          <w:szCs w:val="24"/>
        </w:rPr>
        <w:tab/>
        <w:t xml:space="preserve">České republiky ve smyslu ustanovení § 20 odst. 2 </w:t>
      </w:r>
      <w:r>
        <w:rPr>
          <w:rFonts w:ascii="Times New Roman" w:hAnsi="Times New Roman" w:cs="Times New Roman"/>
          <w:sz w:val="24"/>
          <w:szCs w:val="24"/>
        </w:rPr>
        <w:tab/>
        <w:t>písmeno d) školského zákona.</w:t>
      </w:r>
    </w:p>
    <w:p w14:paraId="74384B8A" w14:textId="77777777" w:rsidR="005816E5" w:rsidRDefault="005816E5">
      <w:pPr>
        <w:jc w:val="both"/>
        <w:rPr>
          <w:rFonts w:cs="Times New Roman"/>
        </w:rPr>
      </w:pPr>
    </w:p>
    <w:p w14:paraId="2EB6DBA7" w14:textId="77777777" w:rsidR="005816E5" w:rsidRDefault="005816E5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38156C83" w14:textId="77777777" w:rsidR="005816E5" w:rsidRDefault="005816E5">
      <w:pPr>
        <w:jc w:val="center"/>
        <w:rPr>
          <w:rFonts w:cs="Times New Roman"/>
        </w:rPr>
      </w:pPr>
    </w:p>
    <w:p w14:paraId="28F0A513" w14:textId="77777777" w:rsidR="005816E5" w:rsidRDefault="001239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2F98852" w14:textId="77777777" w:rsidR="005816E5" w:rsidRDefault="001239DA">
      <w:pPr>
        <w:ind w:left="720" w:hanging="720"/>
        <w:jc w:val="center"/>
      </w:pPr>
      <w:r>
        <w:rPr>
          <w:rFonts w:ascii="Times New Roman" w:hAnsi="Times New Roman" w:cs="Times New Roman"/>
          <w:sz w:val="24"/>
          <w:szCs w:val="24"/>
        </w:rPr>
        <w:t>Shodnost posuzovaných kritérií</w:t>
      </w:r>
    </w:p>
    <w:p w14:paraId="29EF7108" w14:textId="77777777" w:rsidR="005816E5" w:rsidRDefault="001239DA">
      <w:pPr>
        <w:jc w:val="both"/>
      </w:pPr>
      <w:r>
        <w:rPr>
          <w:rFonts w:ascii="Times New Roman" w:hAnsi="Times New Roman" w:cs="Times New Roman"/>
          <w:sz w:val="24"/>
          <w:szCs w:val="24"/>
        </w:rPr>
        <w:t>3. 01</w:t>
      </w:r>
      <w:r>
        <w:rPr>
          <w:rFonts w:ascii="Times New Roman" w:hAnsi="Times New Roman" w:cs="Times New Roman"/>
          <w:sz w:val="24"/>
          <w:szCs w:val="24"/>
        </w:rPr>
        <w:tab/>
        <w:t xml:space="preserve">V případě rovnosti bodů (shodnosti posuzovaných kritérií) bude postupováno podle </w:t>
      </w:r>
      <w:r>
        <w:rPr>
          <w:rFonts w:ascii="Times New Roman" w:hAnsi="Times New Roman" w:cs="Times New Roman"/>
          <w:sz w:val="24"/>
          <w:szCs w:val="24"/>
        </w:rPr>
        <w:tab/>
        <w:t xml:space="preserve">věku dítěte (data narození), kdy bude upřednostněno dítě starší. </w:t>
      </w:r>
    </w:p>
    <w:p w14:paraId="61CFFF12" w14:textId="77777777"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0379341A" w14:textId="77777777" w:rsidR="005816E5" w:rsidRDefault="001239DA">
      <w:pPr>
        <w:jc w:val="center"/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5BD085C3" w14:textId="77777777" w:rsidR="005816E5" w:rsidRDefault="001239DA">
      <w:pPr>
        <w:jc w:val="both"/>
      </w:pPr>
      <w:r>
        <w:rPr>
          <w:rFonts w:ascii="Times New Roman" w:hAnsi="Times New Roman" w:cs="Times New Roman"/>
          <w:sz w:val="24"/>
          <w:szCs w:val="24"/>
        </w:rPr>
        <w:t>4. 01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směrnice stanovující kritéria pro přijímání dětí k předškolnímu vzdělávání </w:t>
      </w:r>
      <w:r>
        <w:rPr>
          <w:rFonts w:ascii="Times New Roman" w:hAnsi="Times New Roman" w:cs="Times New Roman"/>
          <w:sz w:val="24"/>
          <w:szCs w:val="24"/>
        </w:rPr>
        <w:tab/>
        <w:t>v mateřské škole nabývá účinnosti dne</w:t>
      </w:r>
      <w:r>
        <w:rPr>
          <w:rFonts w:ascii="Times New Roman" w:hAnsi="Times New Roman"/>
          <w:sz w:val="24"/>
          <w:szCs w:val="24"/>
        </w:rPr>
        <w:t xml:space="preserve"> 1. 5. 2017</w:t>
      </w:r>
    </w:p>
    <w:p w14:paraId="69A86C25" w14:textId="77777777" w:rsidR="005816E5" w:rsidRDefault="001239DA">
      <w:pPr>
        <w:jc w:val="both"/>
        <w:rPr>
          <w:rFonts w:ascii="Arial Narrow" w:hAnsi="Arial Narrow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D49AD44" w14:textId="77777777" w:rsidR="005816E5" w:rsidRDefault="00123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Mgr. Denisa Rožnovská Rojíčková               </w:t>
      </w:r>
    </w:p>
    <w:p w14:paraId="0E890424" w14:textId="77777777" w:rsidR="005816E5" w:rsidRDefault="00123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ZŠ a MŠ</w:t>
      </w:r>
    </w:p>
    <w:p w14:paraId="39708510" w14:textId="77777777" w:rsidR="005816E5" w:rsidRDefault="00581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D8231" w14:textId="77777777" w:rsidR="005816E5" w:rsidRDefault="005816E5">
      <w:pPr>
        <w:rPr>
          <w:rFonts w:ascii="Times New Roman" w:hAnsi="Times New Roman"/>
          <w:sz w:val="24"/>
          <w:szCs w:val="24"/>
        </w:rPr>
      </w:pPr>
    </w:p>
    <w:p w14:paraId="1768614D" w14:textId="77777777" w:rsidR="005816E5" w:rsidRDefault="005816E5">
      <w:pPr>
        <w:rPr>
          <w:rFonts w:ascii="Times New Roman" w:hAnsi="Times New Roman"/>
          <w:sz w:val="24"/>
          <w:szCs w:val="24"/>
        </w:rPr>
      </w:pPr>
    </w:p>
    <w:p w14:paraId="1A699619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5FB00FBA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005839D3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53AF12AB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7E6BFABE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0F7F4456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206D4DB8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1C4B4158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0E169AF9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1443F94F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0EBFFDAE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7673B59A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500ADA64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4B691B80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1A50C9EE" w14:textId="77777777" w:rsidR="005816E5" w:rsidRDefault="001239D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DODATEK  č. 1</w:t>
      </w:r>
    </w:p>
    <w:p w14:paraId="285F6D6E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6FF5D0C0" w14:textId="77777777" w:rsidR="005816E5" w:rsidRDefault="005816E5">
      <w:pPr>
        <w:rPr>
          <w:rFonts w:ascii="Arial Narrow" w:hAnsi="Arial Narrow"/>
          <w:sz w:val="28"/>
          <w:szCs w:val="28"/>
        </w:rPr>
      </w:pPr>
    </w:p>
    <w:p w14:paraId="44565401" w14:textId="77777777" w:rsidR="005816E5" w:rsidRDefault="001239DA">
      <w:pPr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</w:rPr>
        <w:t xml:space="preserve">Dnem 01. 01. 2014 začal platit nový občanský zákoník (zákon č. 89/2012 Sb.), který obsahuje i úpravu </w:t>
      </w:r>
    </w:p>
    <w:p w14:paraId="3EE186C0" w14:textId="77777777" w:rsidR="005816E5" w:rsidRDefault="001239DA">
      <w:pPr>
        <w:rPr>
          <w:rFonts w:ascii="Arial Narrow" w:hAnsi="Arial Narrow"/>
        </w:rPr>
      </w:pPr>
      <w:r>
        <w:rPr>
          <w:rFonts w:ascii="Arial Narrow" w:hAnsi="Arial Narrow"/>
        </w:rPr>
        <w:t>jednání zákonných zástupců (rodičů) za nezletilé dítě.</w:t>
      </w:r>
    </w:p>
    <w:p w14:paraId="6CFB4C2A" w14:textId="77777777" w:rsidR="005816E5" w:rsidRDefault="001239DA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Podle občanského zákoníku platí mj. následující:</w:t>
      </w:r>
    </w:p>
    <w:p w14:paraId="7FA5CDFB" w14:textId="77777777" w:rsidR="005816E5" w:rsidRDefault="005816E5">
      <w:pPr>
        <w:rPr>
          <w:rFonts w:ascii="Arial Narrow" w:hAnsi="Arial Narrow"/>
        </w:rPr>
      </w:pPr>
    </w:p>
    <w:p w14:paraId="16DC1796" w14:textId="77777777" w:rsidR="005816E5" w:rsidRDefault="001239DA">
      <w:pPr>
        <w:numPr>
          <w:ilvl w:val="0"/>
          <w:numId w:val="1"/>
        </w:numPr>
        <w:tabs>
          <w:tab w:val="left" w:pos="180"/>
        </w:tabs>
        <w:spacing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§   32 odst. 2:</w:t>
      </w:r>
      <w:r>
        <w:rPr>
          <w:rFonts w:ascii="Arial Narrow" w:hAnsi="Arial Narrow"/>
        </w:rPr>
        <w:tab/>
        <w:t xml:space="preserve">Je-li zákonných zástupců více, postačí, projeví-li vůči třetí osobě vůli alespoň jeden z nich. </w:t>
      </w:r>
      <w:r>
        <w:rPr>
          <w:rFonts w:ascii="Arial Narrow" w:hAnsi="Arial Narrow"/>
        </w:rPr>
        <w:tab/>
        <w:t xml:space="preserve">Jedná-li však vůči další osobě více zástupců společně a odporují-li si, nepřihlíží se k projevu </w:t>
      </w:r>
      <w:r>
        <w:rPr>
          <w:rFonts w:ascii="Arial Narrow" w:hAnsi="Arial Narrow"/>
        </w:rPr>
        <w:tab/>
        <w:t>žádného z nich.</w:t>
      </w:r>
    </w:p>
    <w:p w14:paraId="1481A3A5" w14:textId="77777777" w:rsidR="005816E5" w:rsidRDefault="001239DA">
      <w:pPr>
        <w:numPr>
          <w:ilvl w:val="0"/>
          <w:numId w:val="1"/>
        </w:numPr>
        <w:tabs>
          <w:tab w:val="left" w:pos="180"/>
        </w:tabs>
        <w:spacing w:before="120"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§ 892 odst. 2:</w:t>
      </w:r>
      <w:r>
        <w:rPr>
          <w:rFonts w:ascii="Arial Narrow" w:hAnsi="Arial Narrow"/>
        </w:rPr>
        <w:tab/>
        <w:t>Rodiče zastupují dítě společně, jednat však může každý z nich</w:t>
      </w:r>
      <w:r>
        <w:rPr>
          <w:rFonts w:ascii="Arial Narrow" w:hAnsi="Arial Narrow"/>
          <w:lang w:val="en-US"/>
        </w:rPr>
        <w:t xml:space="preserve">; </w:t>
      </w:r>
      <w:r>
        <w:rPr>
          <w:rFonts w:ascii="Arial Narrow" w:hAnsi="Arial Narrow"/>
        </w:rPr>
        <w:t xml:space="preserve">ustanovení § 876 odst. 3 platí </w:t>
      </w:r>
      <w:r>
        <w:rPr>
          <w:rFonts w:ascii="Arial Narrow" w:hAnsi="Arial Narrow"/>
        </w:rPr>
        <w:tab/>
        <w:t>obdobně.</w:t>
      </w:r>
    </w:p>
    <w:p w14:paraId="4C6FB5BA" w14:textId="77777777" w:rsidR="005816E5" w:rsidRDefault="001239DA">
      <w:pPr>
        <w:numPr>
          <w:ilvl w:val="0"/>
          <w:numId w:val="1"/>
        </w:numPr>
        <w:tabs>
          <w:tab w:val="left" w:pos="180"/>
        </w:tabs>
        <w:spacing w:before="120"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§ 876 odst. 3: </w:t>
      </w:r>
      <w:r>
        <w:rPr>
          <w:rFonts w:ascii="Arial Narrow" w:hAnsi="Arial Narrow"/>
        </w:rPr>
        <w:tab/>
        <w:t xml:space="preserve">Jedná-li jeden z rodičů  v záležitosti dítěte sám vůči třetí osobě (škole), která je v dobré víře, má </w:t>
      </w:r>
      <w:r>
        <w:rPr>
          <w:rFonts w:ascii="Arial Narrow" w:hAnsi="Arial Narrow"/>
        </w:rPr>
        <w:tab/>
        <w:t>se za to, že jedná se souhlasem druhého rodiče.</w:t>
      </w:r>
    </w:p>
    <w:p w14:paraId="749B70AA" w14:textId="77777777" w:rsidR="005816E5" w:rsidRDefault="001239DA">
      <w:pPr>
        <w:numPr>
          <w:ilvl w:val="0"/>
          <w:numId w:val="1"/>
        </w:numPr>
        <w:tabs>
          <w:tab w:val="left" w:pos="180"/>
        </w:tabs>
        <w:spacing w:before="120" w:after="0" w:line="240" w:lineRule="auto"/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§ </w:t>
      </w:r>
      <w:proofErr w:type="gramStart"/>
      <w:r>
        <w:rPr>
          <w:rFonts w:ascii="Arial Narrow" w:hAnsi="Arial Narrow"/>
        </w:rPr>
        <w:t xml:space="preserve">877:   </w:t>
      </w:r>
      <w:proofErr w:type="gram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 xml:space="preserve">   (</w:t>
      </w:r>
      <w:proofErr w:type="gramEnd"/>
      <w:r>
        <w:rPr>
          <w:rFonts w:ascii="Arial Narrow" w:hAnsi="Arial Narrow"/>
        </w:rPr>
        <w:t xml:space="preserve">1)   </w:t>
      </w:r>
      <w:r>
        <w:rPr>
          <w:rFonts w:ascii="Arial Narrow" w:hAnsi="Arial Narrow"/>
        </w:rPr>
        <w:tab/>
        <w:t xml:space="preserve">Nedohodnou-li se rodiče v záležitosti, která je pro dítě významná zejména k se zřetelem k jeho </w:t>
      </w:r>
      <w:r>
        <w:rPr>
          <w:rFonts w:ascii="Arial Narrow" w:hAnsi="Arial Narrow"/>
        </w:rPr>
        <w:tab/>
        <w:t>zájmu, rozhodne soud na návrh rodiče</w:t>
      </w:r>
      <w:r>
        <w:rPr>
          <w:rFonts w:ascii="Arial Narrow" w:hAnsi="Arial Narrow"/>
          <w:lang w:val="en-US"/>
        </w:rPr>
        <w:t xml:space="preserve">; </w:t>
      </w:r>
      <w:r>
        <w:rPr>
          <w:rFonts w:ascii="Arial Narrow" w:hAnsi="Arial Narrow"/>
        </w:rPr>
        <w:t xml:space="preserve">to platí i tehdy, vyloučil-li jeden rodič z rozhodování o </w:t>
      </w:r>
      <w:r>
        <w:rPr>
          <w:rFonts w:ascii="Arial Narrow" w:hAnsi="Arial Narrow"/>
        </w:rPr>
        <w:tab/>
        <w:t xml:space="preserve">významné záležitosti dítěte druhého </w:t>
      </w:r>
      <w:proofErr w:type="gramStart"/>
      <w:r>
        <w:rPr>
          <w:rFonts w:ascii="Arial Narrow" w:hAnsi="Arial Narrow"/>
        </w:rPr>
        <w:t>rodiče .</w:t>
      </w:r>
      <w:proofErr w:type="gramEnd"/>
    </w:p>
    <w:p w14:paraId="0A3E30A2" w14:textId="77777777" w:rsidR="005816E5" w:rsidRDefault="001239DA">
      <w:pPr>
        <w:spacing w:before="12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(2)   </w:t>
      </w:r>
      <w:r>
        <w:rPr>
          <w:rFonts w:ascii="Arial Narrow" w:hAnsi="Arial Narrow"/>
        </w:rPr>
        <w:tab/>
        <w:t>Za významnou záležitost se považují zejména nikoli běžné léčebné a obdobné zákroky, určení místa bydliště a volba vzdělání nebo pracovního uplatnění dítěte.</w:t>
      </w:r>
    </w:p>
    <w:p w14:paraId="0EDC6888" w14:textId="77777777" w:rsidR="005816E5" w:rsidRDefault="005816E5">
      <w:pPr>
        <w:spacing w:before="120"/>
        <w:ind w:left="1440" w:hanging="1440"/>
        <w:jc w:val="both"/>
        <w:rPr>
          <w:rFonts w:ascii="Arial Narrow" w:hAnsi="Arial Narrow"/>
        </w:rPr>
      </w:pPr>
    </w:p>
    <w:p w14:paraId="38A2ED4B" w14:textId="77777777" w:rsidR="005816E5" w:rsidRDefault="001239DA">
      <w:pPr>
        <w:spacing w:before="12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Z výše citované právní úpravy vyplývají mj. následující skutečnosti:</w:t>
      </w:r>
    </w:p>
    <w:p w14:paraId="5D761F73" w14:textId="77777777" w:rsidR="005816E5" w:rsidRDefault="001239DA">
      <w:pPr>
        <w:numPr>
          <w:ilvl w:val="0"/>
          <w:numId w:val="2"/>
        </w:numPr>
        <w:tabs>
          <w:tab w:val="left" w:pos="540"/>
        </w:tabs>
        <w:spacing w:before="240" w:after="0" w:line="240" w:lineRule="auto"/>
        <w:ind w:left="538" w:hanging="357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ab/>
        <w:t xml:space="preserve">volba mateřské školy patří mezi záležitosti, které jsou pro dítě významné, a proto je třeba shody obou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rodičů</w:t>
      </w:r>
    </w:p>
    <w:p w14:paraId="17A16A61" w14:textId="77777777" w:rsidR="005816E5" w:rsidRDefault="001239DA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ind w:left="538" w:hanging="357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ab/>
        <w:t xml:space="preserve">vzhledem k tomu, že za dítě může jednat i pouze jeden z rodičů a že třetí osoba je v takovém případě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zpravidla v dobré víře (neví-li o neshodě rodičů), stačí, že žádost o přijetí podá jeden z rodičů dítěte a že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v řízení dítě zastupuje pouze jeden rodič.</w:t>
      </w:r>
    </w:p>
    <w:p w14:paraId="267AB86C" w14:textId="77777777" w:rsidR="005816E5" w:rsidRDefault="005816E5">
      <w:pPr>
        <w:ind w:left="181"/>
        <w:jc w:val="both"/>
        <w:rPr>
          <w:rFonts w:ascii="Arial Narrow" w:hAnsi="Arial Narrow"/>
        </w:rPr>
      </w:pPr>
    </w:p>
    <w:p w14:paraId="4D01CF04" w14:textId="77777777" w:rsidR="005816E5" w:rsidRDefault="001239DA">
      <w:pPr>
        <w:spacing w:before="120"/>
        <w:ind w:left="18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  <w:t>Pokud však jeden z rodičů před zahájením řízení, čí během něho projeví nesouhlas, nebo mateřská škola může neshodu rodičů z určitých okolností dovodit, např. probíhající řízení před soudem o svěření dítěte do péče (a nemůže tak být v dobré víře), je nutné k pokračování v řízení buď souhlas druhého rodiče, nebo rozhodnutí soudu (viz. ustanovení § 877 odst. 1 občanského zákoníku). To znamená, že mateřská škola je povinna vyzvat rodiče, aby doložili jednu z výše uvedených skutečností s tím, že jinak nebude moci být v řízení pokračováno.</w:t>
      </w:r>
    </w:p>
    <w:p w14:paraId="596FA6BE" w14:textId="77777777" w:rsidR="005816E5" w:rsidRDefault="005816E5">
      <w:pPr>
        <w:spacing w:before="120"/>
        <w:ind w:left="180"/>
        <w:jc w:val="both"/>
        <w:rPr>
          <w:rFonts w:ascii="Arial Narrow" w:hAnsi="Arial Narrow"/>
          <w:i/>
        </w:rPr>
      </w:pPr>
    </w:p>
    <w:p w14:paraId="2B5C9C25" w14:textId="77777777" w:rsidR="005816E5" w:rsidRDefault="005816E5">
      <w:pPr>
        <w:spacing w:before="120"/>
        <w:ind w:left="180"/>
        <w:jc w:val="both"/>
        <w:rPr>
          <w:rFonts w:ascii="Arial Narrow" w:hAnsi="Arial Narrow"/>
          <w:i/>
        </w:rPr>
      </w:pPr>
    </w:p>
    <w:p w14:paraId="1ADEF81B" w14:textId="77777777" w:rsidR="005816E5" w:rsidRDefault="005816E5">
      <w:pPr>
        <w:ind w:left="720" w:hanging="720"/>
        <w:jc w:val="both"/>
      </w:pPr>
    </w:p>
    <w:sectPr w:rsidR="005816E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6C8"/>
    <w:multiLevelType w:val="multilevel"/>
    <w:tmpl w:val="6C5C5D1E"/>
    <w:lvl w:ilvl="0">
      <w:start w:val="3"/>
      <w:numFmt w:val="bullet"/>
      <w:lvlText w:val=""/>
      <w:lvlJc w:val="left"/>
      <w:pPr>
        <w:ind w:left="46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175034"/>
    <w:multiLevelType w:val="multilevel"/>
    <w:tmpl w:val="1D06F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49568B"/>
    <w:multiLevelType w:val="multilevel"/>
    <w:tmpl w:val="94261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31980923">
    <w:abstractNumId w:val="1"/>
  </w:num>
  <w:num w:numId="2" w16cid:durableId="338120483">
    <w:abstractNumId w:val="0"/>
  </w:num>
  <w:num w:numId="3" w16cid:durableId="21188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E5"/>
    <w:rsid w:val="000F3EA1"/>
    <w:rsid w:val="001239DA"/>
    <w:rsid w:val="005816E5"/>
    <w:rsid w:val="0081334D"/>
    <w:rsid w:val="00C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965E"/>
  <w15:docId w15:val="{03AEA052-936D-4E81-93AC-D79077F9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F4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F04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F04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F04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04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630DE"/>
  </w:style>
  <w:style w:type="character" w:customStyle="1" w:styleId="ZpatChar">
    <w:name w:val="Zápatí Char"/>
    <w:basedOn w:val="Standardnpsmoodstavce"/>
    <w:link w:val="Zpat"/>
    <w:uiPriority w:val="99"/>
    <w:qFormat/>
    <w:rsid w:val="00A630D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/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ListLabel8">
    <w:name w:val="ListLabel 8"/>
    <w:qFormat/>
    <w:rPr>
      <w:rFonts w:ascii="Arial Narrow" w:hAnsi="Arial Narrow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 Narrow" w:hAnsi="Arial Narrow" w:cs="Symbol"/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 Narrow" w:hAnsi="Arial Narrow"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 Narrow" w:hAnsi="Arial Narrow" w:cs="Symbol"/>
      <w:color w:val="00000A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Arial Narrow" w:hAnsi="Arial Narrow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 Narrow" w:hAnsi="Arial Narrow" w:cs="Symbol"/>
      <w:color w:val="00000A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62">
    <w:name w:val="ListLabel 62"/>
    <w:qFormat/>
    <w:rPr>
      <w:rFonts w:ascii="Arial Narrow" w:hAnsi="Arial Narrow"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 Narrow" w:hAnsi="Arial Narrow" w:cs="Symbol"/>
      <w:color w:val="00000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F04B6B"/>
    <w:rPr>
      <w:rFonts w:ascii="Calibri" w:eastAsia="Calibri" w:hAnsi="Calibri"/>
      <w:color w:val="00000A"/>
      <w:sz w:val="22"/>
    </w:rPr>
  </w:style>
  <w:style w:type="paragraph" w:styleId="Zhlav">
    <w:name w:val="header"/>
    <w:basedOn w:val="Normln"/>
    <w:link w:val="ZhlavChar"/>
    <w:uiPriority w:val="99"/>
    <w:unhideWhenUsed/>
    <w:rsid w:val="00A630D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630DE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Základní škola a mateřská škola Frýdek-Místek - Skalice 192</cp:lastModifiedBy>
  <cp:revision>2</cp:revision>
  <cp:lastPrinted>2015-03-13T16:39:00Z</cp:lastPrinted>
  <dcterms:created xsi:type="dcterms:W3CDTF">2025-05-18T09:33:00Z</dcterms:created>
  <dcterms:modified xsi:type="dcterms:W3CDTF">2025-05-18T09:33:00Z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